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9536B1">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4567F5F">
                <wp:simplePos x="0" y="0"/>
                <wp:positionH relativeFrom="column">
                  <wp:posOffset>4448810</wp:posOffset>
                </wp:positionH>
                <wp:positionV relativeFrom="paragraph">
                  <wp:posOffset>-208280</wp:posOffset>
                </wp:positionV>
                <wp:extent cx="22326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22326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A81E88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CB1A6E">
                              <w:rPr>
                                <w:rFonts w:cstheme="minorHAnsi"/>
                                <w:b/>
                                <w:color w:val="000000" w:themeColor="text1"/>
                              </w:rPr>
                              <w:t>24</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50.3pt;margin-top:-16.4pt;width:175.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" filled="f" strokecolor="black [3213]" strokeweight="2pt">
                <v:textbox>
                  <w:txbxContent>
                    <w:p w14:paraId="31F7CDA8" w14:textId="7A81E88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CB1A6E">
                        <w:rPr>
                          <w:rFonts w:cstheme="minorHAnsi"/>
                          <w:b/>
                          <w:color w:val="000000" w:themeColor="text1"/>
                        </w:rPr>
                        <w:t>24</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3EC8CDC7" w14:textId="238526B0" w:rsidR="00315FD6" w:rsidRDefault="00315FD6" w:rsidP="00417F56">
      <w:pPr>
        <w:jc w:val="center"/>
        <w:rPr>
          <w:rFonts w:ascii="Arial" w:hAnsi="Arial" w:cs="Arial"/>
          <w:b/>
          <w:sz w:val="20"/>
          <w:szCs w:val="20"/>
        </w:rPr>
      </w:pPr>
      <w:bookmarkStart w:id="0" w:name="_Hlk162867906"/>
      <w:r>
        <w:rPr>
          <w:rFonts w:ascii="Arial" w:hAnsi="Arial" w:cs="Arial"/>
          <w:b/>
          <w:sz w:val="20"/>
          <w:szCs w:val="20"/>
        </w:rPr>
        <w:t xml:space="preserve">CONTRATACIÓN PARA </w:t>
      </w:r>
      <w:r w:rsidRPr="00315FD6">
        <w:rPr>
          <w:rFonts w:ascii="Arial" w:hAnsi="Arial" w:cs="Arial"/>
          <w:b/>
          <w:sz w:val="20"/>
          <w:szCs w:val="20"/>
        </w:rPr>
        <w:t>CONSULTORIA EVALUACIÓN DE PROCESOS DE AUDITORÍA MEDICA</w:t>
      </w:r>
    </w:p>
    <w:p w14:paraId="03F7367A" w14:textId="1C4C864C" w:rsidR="001A6BA1" w:rsidRPr="00B60304" w:rsidRDefault="00191A22" w:rsidP="00417F56">
      <w:pPr>
        <w:jc w:val="center"/>
        <w:rPr>
          <w:rFonts w:ascii="Arial" w:hAnsi="Arial" w:cs="Arial"/>
          <w:b/>
          <w:color w:val="000000" w:themeColor="text1"/>
          <w:sz w:val="20"/>
          <w:szCs w:val="20"/>
        </w:rPr>
      </w:pPr>
      <w:r>
        <w:rPr>
          <w:rFonts w:ascii="Arial" w:hAnsi="Arial" w:cs="Arial"/>
          <w:b/>
          <w:sz w:val="20"/>
          <w:szCs w:val="20"/>
        </w:rPr>
        <w:t xml:space="preserve"> </w:t>
      </w:r>
      <w:bookmarkEnd w:id="0"/>
      <w:r w:rsidR="00315FD6">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6C94DFB7"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C93F0C">
        <w:rPr>
          <w:rFonts w:ascii="Arial" w:hAnsi="Arial" w:cs="Arial"/>
          <w:b/>
          <w:sz w:val="20"/>
          <w:szCs w:val="20"/>
        </w:rPr>
        <w:t xml:space="preserve">CONTRATACIÓN </w:t>
      </w:r>
      <w:r w:rsidR="00315FD6">
        <w:rPr>
          <w:rFonts w:ascii="Arial" w:hAnsi="Arial" w:cs="Arial"/>
          <w:b/>
          <w:sz w:val="20"/>
          <w:szCs w:val="20"/>
        </w:rPr>
        <w:t xml:space="preserve">PARA CONSULTORÍA EVALUACIÓN DE PROCESOS DE AUDITORÍA MÉDICA </w:t>
      </w:r>
      <w:r w:rsidR="00C402A0" w:rsidRPr="00C402A0">
        <w:rPr>
          <w:rFonts w:ascii="Arial" w:hAnsi="Arial" w:cs="Arial"/>
          <w:b/>
          <w:bCs/>
          <w:sz w:val="20"/>
        </w:rPr>
        <w:t xml:space="preserve">– </w:t>
      </w:r>
      <w:r w:rsidR="00315FD6">
        <w:rPr>
          <w:rFonts w:ascii="Arial" w:hAnsi="Arial" w:cs="Arial"/>
          <w:b/>
          <w:bCs/>
          <w:sz w:val="20"/>
        </w:rPr>
        <w:t>PRIMERA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44CE1276"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15FD6">
        <w:rPr>
          <w:rFonts w:ascii="Arial" w:hAnsi="Arial" w:cs="Arial"/>
          <w:b/>
          <w:bCs/>
          <w:sz w:val="20"/>
          <w:szCs w:val="20"/>
        </w:rPr>
        <w:t>lunes</w:t>
      </w:r>
      <w:r w:rsidR="008827E5">
        <w:rPr>
          <w:rFonts w:ascii="Arial" w:hAnsi="Arial" w:cs="Arial"/>
          <w:b/>
          <w:bCs/>
          <w:sz w:val="20"/>
          <w:szCs w:val="20"/>
        </w:rPr>
        <w:t xml:space="preserve"> </w:t>
      </w:r>
      <w:r w:rsidR="00315FD6">
        <w:rPr>
          <w:rFonts w:ascii="Arial" w:hAnsi="Arial" w:cs="Arial"/>
          <w:b/>
          <w:bCs/>
          <w:sz w:val="20"/>
          <w:szCs w:val="20"/>
        </w:rPr>
        <w:t>6</w:t>
      </w:r>
      <w:r w:rsidR="00B60304" w:rsidRPr="00B60304">
        <w:rPr>
          <w:rFonts w:ascii="Arial" w:hAnsi="Arial" w:cs="Arial"/>
          <w:b/>
          <w:bCs/>
          <w:sz w:val="20"/>
          <w:szCs w:val="20"/>
        </w:rPr>
        <w:t xml:space="preserve"> de </w:t>
      </w:r>
      <w:r w:rsidR="00315FD6">
        <w:rPr>
          <w:rFonts w:ascii="Arial" w:hAnsi="Arial" w:cs="Arial"/>
          <w:b/>
          <w:bCs/>
          <w:sz w:val="20"/>
          <w:szCs w:val="20"/>
        </w:rPr>
        <w:t>octubre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54FAF3DD"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w:t>
      </w:r>
      <w:r w:rsidR="00191A22">
        <w:rPr>
          <w:rFonts w:ascii="Arial" w:hAnsi="Arial" w:cs="Arial"/>
          <w:sz w:val="20"/>
          <w:szCs w:val="20"/>
        </w:rPr>
        <w:t xml:space="preserve">será de </w:t>
      </w:r>
      <w:r w:rsidR="00315FD6">
        <w:rPr>
          <w:rFonts w:ascii="Arial" w:hAnsi="Arial" w:cs="Arial"/>
          <w:sz w:val="20"/>
          <w:szCs w:val="20"/>
        </w:rPr>
        <w:t xml:space="preserve">89 días calendario desde la </w:t>
      </w:r>
      <w:r w:rsidR="00191A22">
        <w:rPr>
          <w:rFonts w:ascii="Arial" w:hAnsi="Arial" w:cs="Arial"/>
          <w:sz w:val="20"/>
          <w:szCs w:val="20"/>
        </w:rPr>
        <w:t>firma de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92C7F25" w14:textId="493D6EFB" w:rsidR="000E74A3" w:rsidRDefault="000E74A3" w:rsidP="000E74A3">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3677EF78" w14:textId="77777777" w:rsidR="00A321CD" w:rsidRDefault="00A321CD" w:rsidP="000E74A3">
      <w:pPr>
        <w:pStyle w:val="Prrafodelista"/>
        <w:ind w:left="426"/>
        <w:rPr>
          <w:rFonts w:ascii="Arial" w:hAnsi="Arial" w:cs="Arial"/>
          <w:sz w:val="20"/>
          <w:szCs w:val="20"/>
        </w:rPr>
      </w:pPr>
    </w:p>
    <w:tbl>
      <w:tblPr>
        <w:tblW w:w="8779" w:type="dxa"/>
        <w:jc w:val="center"/>
        <w:tblLayout w:type="fixed"/>
        <w:tblCellMar>
          <w:left w:w="70" w:type="dxa"/>
          <w:right w:w="70" w:type="dxa"/>
        </w:tblCellMar>
        <w:tblLook w:val="04A0" w:firstRow="1" w:lastRow="0" w:firstColumn="1" w:lastColumn="0" w:noHBand="0" w:noVBand="1"/>
      </w:tblPr>
      <w:tblGrid>
        <w:gridCol w:w="556"/>
        <w:gridCol w:w="6523"/>
        <w:gridCol w:w="1700"/>
      </w:tblGrid>
      <w:tr w:rsidR="0071228D" w:rsidRPr="001B20E4" w14:paraId="25195574" w14:textId="77777777" w:rsidTr="00A321CD">
        <w:trPr>
          <w:trHeight w:val="525"/>
          <w:jc w:val="center"/>
        </w:trPr>
        <w:tc>
          <w:tcPr>
            <w:tcW w:w="4032"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69BA6D67" w14:textId="77777777" w:rsidR="0071228D" w:rsidRPr="00E47F47" w:rsidRDefault="0071228D" w:rsidP="00980A8D">
            <w:pPr>
              <w:jc w:val="center"/>
              <w:rPr>
                <w:rFonts w:cstheme="minorHAnsi"/>
                <w:b/>
                <w:bCs/>
                <w:color w:val="000000"/>
              </w:rPr>
            </w:pPr>
            <w:r w:rsidRPr="00E47F47">
              <w:rPr>
                <w:rFonts w:cstheme="minorHAnsi"/>
                <w:b/>
                <w:bCs/>
                <w:color w:val="000000"/>
              </w:rPr>
              <w:t>REQUISITOS CALIFICABLES</w:t>
            </w:r>
          </w:p>
        </w:tc>
        <w:tc>
          <w:tcPr>
            <w:tcW w:w="968" w:type="pct"/>
            <w:tcBorders>
              <w:top w:val="single" w:sz="8" w:space="0" w:color="auto"/>
              <w:left w:val="nil"/>
              <w:bottom w:val="single" w:sz="8" w:space="0" w:color="auto"/>
              <w:right w:val="single" w:sz="8" w:space="0" w:color="auto"/>
            </w:tcBorders>
            <w:shd w:val="clear" w:color="000000" w:fill="DEEAF6"/>
            <w:vAlign w:val="center"/>
            <w:hideMark/>
          </w:tcPr>
          <w:p w14:paraId="300403FA" w14:textId="77777777" w:rsidR="0071228D" w:rsidRPr="00E47F47" w:rsidRDefault="0071228D" w:rsidP="00980A8D">
            <w:pPr>
              <w:jc w:val="center"/>
              <w:rPr>
                <w:rFonts w:cstheme="minorHAnsi"/>
                <w:b/>
                <w:bCs/>
                <w:color w:val="000000"/>
              </w:rPr>
            </w:pPr>
            <w:r w:rsidRPr="00E47F47">
              <w:rPr>
                <w:rFonts w:cstheme="minorHAnsi"/>
                <w:b/>
                <w:bCs/>
                <w:color w:val="000000"/>
              </w:rPr>
              <w:t>PUNTAJE ASIGNADO</w:t>
            </w:r>
          </w:p>
        </w:tc>
      </w:tr>
      <w:tr w:rsidR="00A321CD" w:rsidRPr="001B20E4" w14:paraId="79BA8000" w14:textId="77777777" w:rsidTr="00A321CD">
        <w:trPr>
          <w:trHeight w:val="420"/>
          <w:jc w:val="center"/>
        </w:trPr>
        <w:tc>
          <w:tcPr>
            <w:tcW w:w="317" w:type="pct"/>
            <w:tcBorders>
              <w:top w:val="nil"/>
              <w:left w:val="single" w:sz="8" w:space="0" w:color="auto"/>
              <w:bottom w:val="single" w:sz="8" w:space="0" w:color="auto"/>
              <w:right w:val="single" w:sz="8" w:space="0" w:color="auto"/>
            </w:tcBorders>
            <w:shd w:val="clear" w:color="000000" w:fill="FBE4D5"/>
            <w:noWrap/>
            <w:vAlign w:val="center"/>
            <w:hideMark/>
          </w:tcPr>
          <w:p w14:paraId="57F00F7E" w14:textId="02F4061C" w:rsidR="0071228D" w:rsidRPr="00E47F47" w:rsidRDefault="0071228D" w:rsidP="00980A8D">
            <w:pPr>
              <w:jc w:val="center"/>
              <w:rPr>
                <w:rFonts w:cstheme="minorHAnsi"/>
                <w:b/>
                <w:bCs/>
                <w:color w:val="000000"/>
              </w:rPr>
            </w:pPr>
            <w:bookmarkStart w:id="1" w:name="_Hlk119060608"/>
            <w:r w:rsidRPr="00E47F47">
              <w:rPr>
                <w:rFonts w:cstheme="minorHAnsi"/>
                <w:b/>
                <w:bCs/>
                <w:color w:val="000000"/>
              </w:rPr>
              <w:t>A.</w:t>
            </w:r>
            <w:r w:rsidR="00A321CD">
              <w:rPr>
                <w:rFonts w:cstheme="minorHAnsi"/>
                <w:b/>
                <w:bCs/>
                <w:color w:val="000000"/>
              </w:rPr>
              <w:t>1</w:t>
            </w:r>
          </w:p>
        </w:tc>
        <w:tc>
          <w:tcPr>
            <w:tcW w:w="3715" w:type="pct"/>
            <w:tcBorders>
              <w:top w:val="single" w:sz="8" w:space="0" w:color="auto"/>
              <w:left w:val="nil"/>
              <w:bottom w:val="single" w:sz="8" w:space="0" w:color="auto"/>
              <w:right w:val="single" w:sz="8" w:space="0" w:color="000000"/>
            </w:tcBorders>
            <w:shd w:val="clear" w:color="000000" w:fill="FBE4D5"/>
            <w:noWrap/>
            <w:hideMark/>
          </w:tcPr>
          <w:p w14:paraId="2F8F3223" w14:textId="1F4CF237" w:rsidR="0071228D" w:rsidRPr="00E47F47" w:rsidRDefault="00A321CD" w:rsidP="00980A8D">
            <w:pPr>
              <w:jc w:val="center"/>
              <w:rPr>
                <w:rFonts w:cstheme="minorHAnsi"/>
                <w:b/>
                <w:bCs/>
                <w:color w:val="000000"/>
              </w:rPr>
            </w:pPr>
            <w:r>
              <w:rPr>
                <w:rFonts w:cstheme="minorHAnsi"/>
                <w:b/>
                <w:bCs/>
                <w:color w:val="000000"/>
              </w:rPr>
              <w:t>P</w:t>
            </w:r>
            <w:r w:rsidR="00315FD6">
              <w:rPr>
                <w:rFonts w:cstheme="minorHAnsi"/>
                <w:b/>
                <w:bCs/>
                <w:color w:val="000000"/>
              </w:rPr>
              <w:t>arámetros de calificación</w:t>
            </w:r>
          </w:p>
        </w:tc>
        <w:tc>
          <w:tcPr>
            <w:tcW w:w="968" w:type="pct"/>
            <w:tcBorders>
              <w:top w:val="nil"/>
              <w:left w:val="nil"/>
              <w:bottom w:val="single" w:sz="8" w:space="0" w:color="auto"/>
              <w:right w:val="single" w:sz="8" w:space="0" w:color="auto"/>
            </w:tcBorders>
            <w:shd w:val="clear" w:color="000000" w:fill="FBE4D5"/>
            <w:noWrap/>
            <w:vAlign w:val="center"/>
            <w:hideMark/>
          </w:tcPr>
          <w:p w14:paraId="238328A1" w14:textId="42D8B06F" w:rsidR="0071228D" w:rsidRPr="00E47F47" w:rsidRDefault="0071228D" w:rsidP="004B12F9">
            <w:pPr>
              <w:rPr>
                <w:rFonts w:cstheme="minorHAnsi"/>
                <w:b/>
                <w:bCs/>
                <w:color w:val="000000"/>
              </w:rPr>
            </w:pPr>
          </w:p>
        </w:tc>
      </w:tr>
      <w:bookmarkEnd w:id="1"/>
      <w:tr w:rsidR="00A321CD" w:rsidRPr="001B20E4" w14:paraId="28795657" w14:textId="77777777" w:rsidTr="00A321CD">
        <w:trPr>
          <w:trHeight w:val="621"/>
          <w:jc w:val="center"/>
        </w:trPr>
        <w:tc>
          <w:tcPr>
            <w:tcW w:w="317" w:type="pct"/>
            <w:tcBorders>
              <w:top w:val="nil"/>
              <w:left w:val="single" w:sz="8" w:space="0" w:color="auto"/>
              <w:bottom w:val="single" w:sz="8" w:space="0" w:color="auto"/>
              <w:right w:val="single" w:sz="8" w:space="0" w:color="auto"/>
            </w:tcBorders>
            <w:noWrap/>
            <w:vAlign w:val="center"/>
            <w:hideMark/>
          </w:tcPr>
          <w:p w14:paraId="02CD8633" w14:textId="337330BC" w:rsidR="0071228D" w:rsidRPr="00E47F47" w:rsidRDefault="00A321CD" w:rsidP="00980A8D">
            <w:pPr>
              <w:jc w:val="center"/>
              <w:rPr>
                <w:rFonts w:cstheme="minorHAnsi"/>
                <w:bCs/>
                <w:color w:val="000000"/>
              </w:rPr>
            </w:pPr>
            <w:r>
              <w:rPr>
                <w:rFonts w:cstheme="minorHAnsi"/>
                <w:bCs/>
                <w:color w:val="000000"/>
              </w:rPr>
              <w:t>A.1</w:t>
            </w:r>
          </w:p>
        </w:tc>
        <w:tc>
          <w:tcPr>
            <w:tcW w:w="3715" w:type="pct"/>
            <w:tcBorders>
              <w:top w:val="single" w:sz="8" w:space="0" w:color="auto"/>
              <w:left w:val="nil"/>
              <w:bottom w:val="single" w:sz="8" w:space="0" w:color="auto"/>
              <w:right w:val="single" w:sz="8" w:space="0" w:color="000000"/>
            </w:tcBorders>
            <w:vAlign w:val="center"/>
            <w:hideMark/>
          </w:tcPr>
          <w:p w14:paraId="32977861" w14:textId="77777777" w:rsidR="00315FD6" w:rsidRPr="00315FD6" w:rsidRDefault="00315FD6" w:rsidP="00315FD6">
            <w:pPr>
              <w:pStyle w:val="Textoindependiente3"/>
              <w:rPr>
                <w:rFonts w:asciiTheme="minorHAnsi" w:eastAsiaTheme="minorHAnsi" w:hAnsiTheme="minorHAnsi" w:cstheme="minorHAnsi"/>
                <w:color w:val="000000"/>
                <w:sz w:val="22"/>
                <w:szCs w:val="22"/>
                <w:lang w:eastAsia="en-US"/>
              </w:rPr>
            </w:pPr>
            <w:r w:rsidRPr="00315FD6">
              <w:rPr>
                <w:rFonts w:asciiTheme="minorHAnsi" w:eastAsiaTheme="minorHAnsi" w:hAnsiTheme="minorHAnsi" w:cstheme="minorHAnsi"/>
                <w:color w:val="000000"/>
                <w:sz w:val="22"/>
                <w:szCs w:val="22"/>
                <w:lang w:eastAsia="en-US"/>
              </w:rPr>
              <w:t>Diplomado en Gestión de Calidad y/o Auditoría Médica        10 pts.</w:t>
            </w:r>
          </w:p>
          <w:p w14:paraId="3230FB2C" w14:textId="77F1DFBA" w:rsidR="0071228D" w:rsidRPr="00A321CD" w:rsidRDefault="00315FD6" w:rsidP="00315FD6">
            <w:pPr>
              <w:spacing w:line="276" w:lineRule="auto"/>
              <w:rPr>
                <w:rFonts w:cstheme="minorHAnsi"/>
                <w:color w:val="000000"/>
                <w:sz w:val="18"/>
                <w:szCs w:val="18"/>
              </w:rPr>
            </w:pPr>
            <w:r w:rsidRPr="00315FD6">
              <w:rPr>
                <w:rFonts w:cstheme="minorHAnsi"/>
                <w:color w:val="000000"/>
              </w:rPr>
              <w:t>Especialidad en Gestión de Calidad y/o Auditoría Médica    20 pts</w:t>
            </w:r>
          </w:p>
        </w:tc>
        <w:tc>
          <w:tcPr>
            <w:tcW w:w="968" w:type="pct"/>
            <w:tcBorders>
              <w:top w:val="nil"/>
              <w:left w:val="nil"/>
              <w:bottom w:val="single" w:sz="8" w:space="0" w:color="auto"/>
              <w:right w:val="single" w:sz="8" w:space="0" w:color="auto"/>
            </w:tcBorders>
            <w:noWrap/>
            <w:vAlign w:val="center"/>
            <w:hideMark/>
          </w:tcPr>
          <w:p w14:paraId="1C209177" w14:textId="4CAF9295" w:rsidR="0071228D" w:rsidRPr="00592BF5" w:rsidRDefault="004B12F9" w:rsidP="00A321CD">
            <w:pPr>
              <w:jc w:val="center"/>
              <w:rPr>
                <w:rFonts w:cstheme="minorHAnsi"/>
                <w:color w:val="000000"/>
              </w:rPr>
            </w:pPr>
            <w:r>
              <w:rPr>
                <w:rFonts w:cstheme="minorHAnsi"/>
                <w:color w:val="000000"/>
              </w:rPr>
              <w:t>20</w:t>
            </w:r>
          </w:p>
        </w:tc>
      </w:tr>
      <w:tr w:rsidR="00315FD6" w:rsidRPr="001B20E4" w14:paraId="076CD96D" w14:textId="77777777" w:rsidTr="00A321CD">
        <w:trPr>
          <w:trHeight w:val="621"/>
          <w:jc w:val="center"/>
        </w:trPr>
        <w:tc>
          <w:tcPr>
            <w:tcW w:w="317" w:type="pct"/>
            <w:tcBorders>
              <w:top w:val="nil"/>
              <w:left w:val="single" w:sz="8" w:space="0" w:color="auto"/>
              <w:bottom w:val="single" w:sz="8" w:space="0" w:color="auto"/>
              <w:right w:val="single" w:sz="8" w:space="0" w:color="auto"/>
            </w:tcBorders>
            <w:noWrap/>
            <w:vAlign w:val="center"/>
          </w:tcPr>
          <w:p w14:paraId="319CF035" w14:textId="4F00F4BF" w:rsidR="00315FD6" w:rsidRDefault="00315FD6" w:rsidP="00980A8D">
            <w:pPr>
              <w:jc w:val="center"/>
              <w:rPr>
                <w:rFonts w:cstheme="minorHAnsi"/>
                <w:bCs/>
                <w:color w:val="000000"/>
              </w:rPr>
            </w:pPr>
            <w:r>
              <w:rPr>
                <w:rFonts w:cstheme="minorHAnsi"/>
                <w:bCs/>
                <w:color w:val="000000"/>
              </w:rPr>
              <w:t>A.2</w:t>
            </w:r>
          </w:p>
        </w:tc>
        <w:tc>
          <w:tcPr>
            <w:tcW w:w="3715" w:type="pct"/>
            <w:tcBorders>
              <w:top w:val="single" w:sz="8" w:space="0" w:color="auto"/>
              <w:left w:val="nil"/>
              <w:bottom w:val="single" w:sz="8" w:space="0" w:color="auto"/>
              <w:right w:val="single" w:sz="8" w:space="0" w:color="000000"/>
            </w:tcBorders>
            <w:vAlign w:val="center"/>
          </w:tcPr>
          <w:p w14:paraId="6CAD91EE" w14:textId="77777777" w:rsidR="00315FD6" w:rsidRPr="00315FD6" w:rsidRDefault="00315FD6" w:rsidP="00315FD6">
            <w:pPr>
              <w:spacing w:line="276" w:lineRule="auto"/>
              <w:rPr>
                <w:rFonts w:cstheme="minorHAnsi"/>
                <w:color w:val="000000"/>
              </w:rPr>
            </w:pPr>
            <w:r w:rsidRPr="00315FD6">
              <w:rPr>
                <w:rFonts w:cstheme="minorHAnsi"/>
                <w:color w:val="000000"/>
              </w:rPr>
              <w:t>Experiencia General</w:t>
            </w:r>
          </w:p>
          <w:p w14:paraId="59C4489A" w14:textId="7E328B01" w:rsidR="00315FD6" w:rsidRPr="00315FD6" w:rsidRDefault="00315FD6" w:rsidP="00315FD6">
            <w:pPr>
              <w:spacing w:line="276" w:lineRule="auto"/>
              <w:rPr>
                <w:rFonts w:cstheme="minorHAnsi"/>
                <w:color w:val="000000"/>
              </w:rPr>
            </w:pPr>
            <w:r w:rsidRPr="00315FD6">
              <w:rPr>
                <w:rFonts w:cstheme="minorHAnsi"/>
                <w:color w:val="000000"/>
              </w:rPr>
              <w:t xml:space="preserve">5 a 10 años                                                                            </w:t>
            </w:r>
            <w:r>
              <w:rPr>
                <w:rFonts w:cstheme="minorHAnsi"/>
                <w:color w:val="000000"/>
              </w:rPr>
              <w:t>2</w:t>
            </w:r>
            <w:r w:rsidRPr="00315FD6">
              <w:rPr>
                <w:rFonts w:cstheme="minorHAnsi"/>
                <w:color w:val="000000"/>
              </w:rPr>
              <w:t>0 pts.</w:t>
            </w:r>
          </w:p>
          <w:p w14:paraId="6CB7E1FD" w14:textId="7DD5BDAE" w:rsidR="00315FD6" w:rsidRPr="00315FD6" w:rsidRDefault="00315FD6" w:rsidP="00315FD6">
            <w:pPr>
              <w:spacing w:line="276" w:lineRule="auto"/>
              <w:rPr>
                <w:rFonts w:cstheme="minorHAnsi"/>
                <w:color w:val="000000"/>
              </w:rPr>
            </w:pPr>
            <w:r w:rsidRPr="00315FD6">
              <w:rPr>
                <w:rFonts w:cstheme="minorHAnsi"/>
                <w:color w:val="000000"/>
              </w:rPr>
              <w:t xml:space="preserve">10 o más años                                                                       </w:t>
            </w:r>
            <w:r>
              <w:rPr>
                <w:rFonts w:cstheme="minorHAnsi"/>
                <w:color w:val="000000"/>
              </w:rPr>
              <w:t>4</w:t>
            </w:r>
            <w:r w:rsidRPr="00315FD6">
              <w:rPr>
                <w:rFonts w:cstheme="minorHAnsi"/>
                <w:color w:val="000000"/>
              </w:rPr>
              <w:t>0 pts.</w:t>
            </w:r>
          </w:p>
        </w:tc>
        <w:tc>
          <w:tcPr>
            <w:tcW w:w="968" w:type="pct"/>
            <w:tcBorders>
              <w:top w:val="nil"/>
              <w:left w:val="nil"/>
              <w:bottom w:val="single" w:sz="8" w:space="0" w:color="auto"/>
              <w:right w:val="single" w:sz="8" w:space="0" w:color="auto"/>
            </w:tcBorders>
            <w:noWrap/>
            <w:vAlign w:val="center"/>
          </w:tcPr>
          <w:p w14:paraId="6565A4B6" w14:textId="72A6F2A0" w:rsidR="00315FD6" w:rsidRPr="00592BF5" w:rsidRDefault="004B12F9" w:rsidP="00A321CD">
            <w:pPr>
              <w:jc w:val="center"/>
              <w:rPr>
                <w:rFonts w:cstheme="minorHAnsi"/>
                <w:color w:val="000000"/>
              </w:rPr>
            </w:pPr>
            <w:r>
              <w:rPr>
                <w:rFonts w:cstheme="minorHAnsi"/>
                <w:color w:val="000000"/>
              </w:rPr>
              <w:t>40</w:t>
            </w:r>
          </w:p>
        </w:tc>
      </w:tr>
      <w:tr w:rsidR="00A321CD" w:rsidRPr="001B20E4" w14:paraId="60ACA8CE" w14:textId="77777777" w:rsidTr="00A321CD">
        <w:trPr>
          <w:trHeight w:val="420"/>
          <w:jc w:val="center"/>
        </w:trPr>
        <w:tc>
          <w:tcPr>
            <w:tcW w:w="317" w:type="pct"/>
            <w:tcBorders>
              <w:top w:val="nil"/>
              <w:left w:val="single" w:sz="8" w:space="0" w:color="auto"/>
              <w:bottom w:val="single" w:sz="8" w:space="0" w:color="auto"/>
              <w:right w:val="single" w:sz="8" w:space="0" w:color="auto"/>
            </w:tcBorders>
            <w:noWrap/>
            <w:vAlign w:val="center"/>
          </w:tcPr>
          <w:p w14:paraId="4F5312B4" w14:textId="7577BDB2" w:rsidR="00A321CD" w:rsidRPr="00A321CD" w:rsidRDefault="00A321CD" w:rsidP="00980A8D">
            <w:pPr>
              <w:jc w:val="center"/>
              <w:rPr>
                <w:rFonts w:cstheme="minorHAnsi"/>
                <w:color w:val="000000"/>
              </w:rPr>
            </w:pPr>
            <w:r w:rsidRPr="00A321CD">
              <w:rPr>
                <w:rFonts w:cstheme="minorHAnsi"/>
                <w:color w:val="000000"/>
              </w:rPr>
              <w:t>A.2</w:t>
            </w:r>
          </w:p>
        </w:tc>
        <w:tc>
          <w:tcPr>
            <w:tcW w:w="3715" w:type="pct"/>
            <w:tcBorders>
              <w:top w:val="single" w:sz="8" w:space="0" w:color="auto"/>
              <w:left w:val="nil"/>
              <w:bottom w:val="single" w:sz="8" w:space="0" w:color="auto"/>
              <w:right w:val="single" w:sz="8" w:space="0" w:color="000000"/>
            </w:tcBorders>
            <w:noWrap/>
          </w:tcPr>
          <w:p w14:paraId="19AF04E2" w14:textId="77777777" w:rsidR="00315FD6" w:rsidRPr="00315FD6" w:rsidRDefault="00315FD6" w:rsidP="00315FD6">
            <w:pPr>
              <w:spacing w:line="276" w:lineRule="auto"/>
              <w:rPr>
                <w:rFonts w:cstheme="minorHAnsi"/>
                <w:color w:val="000000"/>
              </w:rPr>
            </w:pPr>
            <w:r w:rsidRPr="00315FD6">
              <w:rPr>
                <w:rFonts w:cstheme="minorHAnsi"/>
                <w:color w:val="000000"/>
              </w:rPr>
              <w:t>Experiencia Específica</w:t>
            </w:r>
          </w:p>
          <w:p w14:paraId="6A5B00A1" w14:textId="5DF468DD" w:rsidR="00315FD6" w:rsidRPr="00315FD6" w:rsidRDefault="00315FD6" w:rsidP="00315FD6">
            <w:pPr>
              <w:spacing w:line="276" w:lineRule="auto"/>
              <w:rPr>
                <w:rFonts w:cstheme="minorHAnsi"/>
                <w:color w:val="000000"/>
              </w:rPr>
            </w:pPr>
            <w:r w:rsidRPr="00315FD6">
              <w:rPr>
                <w:rFonts w:cstheme="minorHAnsi"/>
                <w:color w:val="000000"/>
              </w:rPr>
              <w:t xml:space="preserve">2 a 5 años                                                                              </w:t>
            </w:r>
            <w:r>
              <w:rPr>
                <w:rFonts w:cstheme="minorHAnsi"/>
                <w:color w:val="000000"/>
              </w:rPr>
              <w:t>2</w:t>
            </w:r>
            <w:r w:rsidRPr="00315FD6">
              <w:rPr>
                <w:rFonts w:cstheme="minorHAnsi"/>
                <w:color w:val="000000"/>
              </w:rPr>
              <w:t>0 pts.</w:t>
            </w:r>
          </w:p>
          <w:p w14:paraId="41015AC2" w14:textId="1AAFC3E5" w:rsidR="00A321CD" w:rsidRPr="00315FD6" w:rsidRDefault="00315FD6" w:rsidP="00315FD6">
            <w:pPr>
              <w:spacing w:line="276" w:lineRule="auto"/>
              <w:rPr>
                <w:rFonts w:cstheme="minorHAnsi"/>
                <w:color w:val="000000"/>
              </w:rPr>
            </w:pPr>
            <w:r w:rsidRPr="00315FD6">
              <w:rPr>
                <w:rFonts w:cstheme="minorHAnsi"/>
                <w:color w:val="000000"/>
              </w:rPr>
              <w:t xml:space="preserve">5 o más años                                                                         </w:t>
            </w:r>
            <w:r>
              <w:rPr>
                <w:rFonts w:cstheme="minorHAnsi"/>
                <w:color w:val="000000"/>
              </w:rPr>
              <w:t>4</w:t>
            </w:r>
            <w:r w:rsidRPr="00315FD6">
              <w:rPr>
                <w:rFonts w:cstheme="minorHAnsi"/>
                <w:color w:val="000000"/>
              </w:rPr>
              <w:t>0 pts.</w:t>
            </w:r>
          </w:p>
        </w:tc>
        <w:tc>
          <w:tcPr>
            <w:tcW w:w="968" w:type="pct"/>
            <w:tcBorders>
              <w:top w:val="nil"/>
              <w:left w:val="nil"/>
              <w:bottom w:val="single" w:sz="8" w:space="0" w:color="auto"/>
              <w:right w:val="single" w:sz="8" w:space="0" w:color="auto"/>
            </w:tcBorders>
            <w:noWrap/>
            <w:vAlign w:val="center"/>
          </w:tcPr>
          <w:p w14:paraId="6C03965F" w14:textId="2B33C1A9" w:rsidR="00A321CD" w:rsidRPr="004B12F9" w:rsidRDefault="004B12F9" w:rsidP="00980A8D">
            <w:pPr>
              <w:jc w:val="center"/>
              <w:rPr>
                <w:rFonts w:cstheme="minorHAnsi"/>
                <w:color w:val="000000"/>
              </w:rPr>
            </w:pPr>
            <w:r w:rsidRPr="004B12F9">
              <w:rPr>
                <w:rFonts w:cstheme="minorHAnsi"/>
                <w:color w:val="000000"/>
              </w:rPr>
              <w:t>40</w:t>
            </w:r>
          </w:p>
        </w:tc>
      </w:tr>
      <w:tr w:rsidR="00A321CD" w:rsidRPr="001B20E4" w14:paraId="1F8D17B6" w14:textId="77777777" w:rsidTr="00A321CD">
        <w:trPr>
          <w:trHeight w:val="315"/>
          <w:jc w:val="center"/>
        </w:trPr>
        <w:tc>
          <w:tcPr>
            <w:tcW w:w="317" w:type="pct"/>
            <w:tcBorders>
              <w:top w:val="nil"/>
              <w:left w:val="single" w:sz="8" w:space="0" w:color="auto"/>
              <w:bottom w:val="single" w:sz="8" w:space="0" w:color="000000"/>
              <w:right w:val="single" w:sz="8" w:space="0" w:color="auto"/>
            </w:tcBorders>
            <w:shd w:val="clear" w:color="auto" w:fill="92CDDC" w:themeFill="accent5" w:themeFillTint="99"/>
            <w:vAlign w:val="center"/>
          </w:tcPr>
          <w:p w14:paraId="5305107D" w14:textId="77777777" w:rsidR="00A321CD" w:rsidRDefault="00A321CD" w:rsidP="00A321CD">
            <w:pPr>
              <w:jc w:val="center"/>
              <w:rPr>
                <w:rFonts w:cstheme="minorHAnsi"/>
                <w:b/>
                <w:bCs/>
                <w:color w:val="000000"/>
              </w:rPr>
            </w:pPr>
          </w:p>
        </w:tc>
        <w:tc>
          <w:tcPr>
            <w:tcW w:w="3715" w:type="pct"/>
            <w:tcBorders>
              <w:top w:val="single" w:sz="8" w:space="0" w:color="auto"/>
              <w:left w:val="nil"/>
              <w:bottom w:val="single" w:sz="8" w:space="0" w:color="auto"/>
              <w:right w:val="nil"/>
            </w:tcBorders>
            <w:shd w:val="clear" w:color="auto" w:fill="92CDDC" w:themeFill="accent5" w:themeFillTint="99"/>
            <w:vAlign w:val="center"/>
          </w:tcPr>
          <w:p w14:paraId="0456749D" w14:textId="54A015D2" w:rsidR="00A321CD" w:rsidRPr="00A321CD" w:rsidRDefault="00A321CD" w:rsidP="00A321CD">
            <w:pPr>
              <w:spacing w:line="276" w:lineRule="auto"/>
              <w:jc w:val="center"/>
              <w:rPr>
                <w:rFonts w:cstheme="minorHAnsi"/>
                <w:b/>
                <w:bCs/>
              </w:rPr>
            </w:pPr>
            <w:r w:rsidRPr="00A732D8">
              <w:rPr>
                <w:rFonts w:cstheme="minorHAnsi"/>
                <w:b/>
                <w:bCs/>
                <w:color w:val="000000"/>
                <w:sz w:val="18"/>
                <w:szCs w:val="18"/>
              </w:rPr>
              <w:t>PUNTAJE FINAL / 100 PUNTOS</w:t>
            </w:r>
          </w:p>
        </w:tc>
        <w:tc>
          <w:tcPr>
            <w:tcW w:w="968" w:type="pct"/>
            <w:tcBorders>
              <w:top w:val="nil"/>
              <w:left w:val="single" w:sz="8" w:space="0" w:color="auto"/>
              <w:bottom w:val="single" w:sz="4" w:space="0" w:color="auto"/>
              <w:right w:val="single" w:sz="8" w:space="0" w:color="auto"/>
            </w:tcBorders>
            <w:shd w:val="clear" w:color="auto" w:fill="92CDDC" w:themeFill="accent5" w:themeFillTint="99"/>
            <w:noWrap/>
            <w:vAlign w:val="center"/>
          </w:tcPr>
          <w:p w14:paraId="03C45F6A" w14:textId="1C71F454" w:rsidR="00A321CD" w:rsidRPr="00A321CD" w:rsidRDefault="00A321CD" w:rsidP="00A321CD">
            <w:pPr>
              <w:jc w:val="center"/>
              <w:rPr>
                <w:rFonts w:cstheme="minorHAnsi"/>
                <w:b/>
                <w:bCs/>
                <w:color w:val="000000"/>
              </w:rPr>
            </w:pPr>
            <w:r w:rsidRPr="00A732D8">
              <w:rPr>
                <w:rFonts w:cstheme="minorHAnsi"/>
                <w:b/>
                <w:bCs/>
                <w:color w:val="000000"/>
                <w:sz w:val="18"/>
                <w:szCs w:val="18"/>
              </w:rPr>
              <w:t>100</w:t>
            </w:r>
          </w:p>
        </w:tc>
      </w:tr>
    </w:tbl>
    <w:p w14:paraId="66957B53" w14:textId="77777777" w:rsidR="000E74A3" w:rsidRDefault="000E74A3" w:rsidP="000E74A3">
      <w:pPr>
        <w:pStyle w:val="Prrafodelista"/>
        <w:ind w:left="426"/>
        <w:rPr>
          <w:rFonts w:ascii="Arial" w:hAnsi="Arial" w:cs="Arial"/>
          <w:sz w:val="20"/>
          <w:szCs w:val="20"/>
        </w:rPr>
      </w:pPr>
    </w:p>
    <w:p w14:paraId="76B53F62" w14:textId="7127DDFB" w:rsidR="00E353C9" w:rsidRPr="003E68C6" w:rsidRDefault="004B12F9" w:rsidP="00163081">
      <w:pPr>
        <w:pStyle w:val="Prrafodelista"/>
        <w:numPr>
          <w:ilvl w:val="0"/>
          <w:numId w:val="1"/>
        </w:numPr>
        <w:rPr>
          <w:rFonts w:ascii="Arial" w:hAnsi="Arial" w:cs="Arial"/>
          <w:sz w:val="20"/>
          <w:szCs w:val="20"/>
        </w:rPr>
      </w:pPr>
      <w:r>
        <w:rPr>
          <w:rFonts w:ascii="Arial" w:hAnsi="Arial" w:cs="Arial"/>
          <w:b/>
          <w:sz w:val="20"/>
          <w:szCs w:val="20"/>
          <w:u w:val="single"/>
        </w:rPr>
        <w:t>PRECIO DE LA CONSULTORIA:</w:t>
      </w:r>
    </w:p>
    <w:p w14:paraId="1EFDC5B4" w14:textId="77777777" w:rsidR="00E353C9" w:rsidRDefault="00E353C9" w:rsidP="00E353C9">
      <w:pPr>
        <w:ind w:left="426"/>
        <w:rPr>
          <w:rFonts w:cstheme="minorHAnsi"/>
        </w:rPr>
      </w:pPr>
    </w:p>
    <w:p w14:paraId="1675AA08" w14:textId="17FDCC94" w:rsidR="00E353C9" w:rsidRPr="00E353C9" w:rsidRDefault="00194791" w:rsidP="00E353C9">
      <w:pPr>
        <w:ind w:left="426"/>
        <w:rPr>
          <w:rFonts w:ascii="Arial" w:hAnsi="Arial" w:cs="Arial"/>
          <w:sz w:val="20"/>
          <w:szCs w:val="20"/>
        </w:rPr>
      </w:pPr>
      <w:r>
        <w:rPr>
          <w:rFonts w:ascii="Arial" w:hAnsi="Arial" w:cs="Arial"/>
          <w:sz w:val="20"/>
          <w:szCs w:val="20"/>
        </w:rPr>
        <w:t>El</w:t>
      </w:r>
      <w:r w:rsidR="004B12F9">
        <w:rPr>
          <w:rFonts w:ascii="Arial" w:hAnsi="Arial" w:cs="Arial"/>
          <w:sz w:val="20"/>
          <w:szCs w:val="20"/>
        </w:rPr>
        <w:t xml:space="preserve"> c</w:t>
      </w:r>
      <w:r>
        <w:rPr>
          <w:rFonts w:ascii="Arial" w:hAnsi="Arial" w:cs="Arial"/>
          <w:sz w:val="20"/>
          <w:szCs w:val="20"/>
        </w:rPr>
        <w:t xml:space="preserve">osto del servicio será de </w:t>
      </w:r>
      <w:r w:rsidR="004B12F9">
        <w:rPr>
          <w:rFonts w:ascii="Arial" w:hAnsi="Arial" w:cs="Arial"/>
          <w:sz w:val="20"/>
          <w:szCs w:val="20"/>
        </w:rPr>
        <w:t>Bs30.000,00</w:t>
      </w:r>
      <w:r>
        <w:rPr>
          <w:rFonts w:ascii="Arial" w:hAnsi="Arial" w:cs="Arial"/>
          <w:sz w:val="20"/>
          <w:szCs w:val="20"/>
        </w:rPr>
        <w:t xml:space="preserve"> (treinta mil 00/100 bolivianos) y se cancelará previa presentación de los productos esperados y conformidad de la contraparte técnica.</w:t>
      </w:r>
    </w:p>
    <w:p w14:paraId="4D2746D5" w14:textId="77777777" w:rsidR="00ED0036" w:rsidRDefault="00ED0036" w:rsidP="003968FF">
      <w:pPr>
        <w:pStyle w:val="Prrafodelista"/>
        <w:rPr>
          <w:rFonts w:ascii="Arial" w:hAnsi="Arial" w:cs="Arial"/>
          <w:sz w:val="20"/>
          <w:szCs w:val="20"/>
        </w:rPr>
      </w:pPr>
    </w:p>
    <w:p w14:paraId="716E5DA0" w14:textId="77777777" w:rsidR="00194791" w:rsidRDefault="00194791" w:rsidP="003968FF">
      <w:pPr>
        <w:pStyle w:val="Prrafodelista"/>
        <w:rPr>
          <w:rFonts w:ascii="Arial" w:hAnsi="Arial" w:cs="Arial"/>
          <w:sz w:val="20"/>
          <w:szCs w:val="20"/>
        </w:rPr>
      </w:pPr>
    </w:p>
    <w:p w14:paraId="5E902651" w14:textId="77777777" w:rsidR="00194791" w:rsidRDefault="00194791" w:rsidP="003968FF">
      <w:pPr>
        <w:pStyle w:val="Prrafodelista"/>
        <w:rPr>
          <w:rFonts w:ascii="Arial" w:hAnsi="Arial" w:cs="Arial"/>
          <w:sz w:val="20"/>
          <w:szCs w:val="20"/>
        </w:rPr>
      </w:pPr>
    </w:p>
    <w:p w14:paraId="317878E6" w14:textId="77777777" w:rsidR="00194791" w:rsidRDefault="00194791" w:rsidP="003968FF">
      <w:pPr>
        <w:pStyle w:val="Prrafodelista"/>
        <w:rPr>
          <w:rFonts w:ascii="Arial" w:hAnsi="Arial" w:cs="Arial"/>
          <w:sz w:val="20"/>
          <w:szCs w:val="20"/>
        </w:rPr>
      </w:pPr>
    </w:p>
    <w:p w14:paraId="05219DD9" w14:textId="77777777" w:rsidR="00E353C9" w:rsidRPr="00194791"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lastRenderedPageBreak/>
        <w:t>MULTAS:</w:t>
      </w:r>
      <w:r w:rsidR="00402D1D">
        <w:rPr>
          <w:rFonts w:ascii="Arial" w:hAnsi="Arial" w:cs="Arial"/>
          <w:b/>
          <w:sz w:val="20"/>
          <w:szCs w:val="20"/>
          <w:u w:val="single"/>
        </w:rPr>
        <w:t xml:space="preserve"> </w:t>
      </w:r>
    </w:p>
    <w:p w14:paraId="11955C55" w14:textId="77777777" w:rsidR="00194791" w:rsidRPr="00E353C9" w:rsidRDefault="00194791" w:rsidP="00194791">
      <w:pPr>
        <w:pStyle w:val="Prrafodelista"/>
        <w:rPr>
          <w:rFonts w:ascii="Arial" w:hAnsi="Arial" w:cs="Arial"/>
          <w:b/>
          <w:color w:val="000000" w:themeColor="text1"/>
          <w:sz w:val="20"/>
          <w:szCs w:val="20"/>
          <w:u w:val="single"/>
        </w:rPr>
      </w:pPr>
    </w:p>
    <w:p w14:paraId="3172AAD5" w14:textId="5F1FEA73"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r w:rsidR="00194791">
        <w:rPr>
          <w:rFonts w:ascii="Arial" w:hAnsi="Arial" w:cs="Arial"/>
          <w:sz w:val="20"/>
          <w:szCs w:val="20"/>
        </w:rPr>
        <w:t>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p w14:paraId="749192A9" w14:textId="77777777" w:rsidR="008827E5" w:rsidRDefault="008827E5"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N°</w:t>
            </w:r>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077A4197" w:rsidR="008827E5" w:rsidRPr="00D62E66" w:rsidRDefault="00194791" w:rsidP="00D357B5">
            <w:pPr>
              <w:jc w:val="center"/>
              <w:rPr>
                <w:rFonts w:ascii="Arial" w:hAnsi="Arial" w:cs="Arial"/>
                <w:sz w:val="20"/>
                <w:szCs w:val="20"/>
              </w:rPr>
            </w:pPr>
            <w:r>
              <w:rPr>
                <w:rFonts w:ascii="Arial" w:hAnsi="Arial" w:cs="Arial"/>
                <w:sz w:val="20"/>
                <w:szCs w:val="20"/>
              </w:rPr>
              <w:t>30</w:t>
            </w:r>
            <w:r w:rsidR="005B75AC">
              <w:rPr>
                <w:rFonts w:ascii="Arial" w:hAnsi="Arial" w:cs="Arial"/>
                <w:sz w:val="20"/>
                <w:szCs w:val="20"/>
              </w:rPr>
              <w:t>/</w:t>
            </w:r>
            <w:r>
              <w:rPr>
                <w:rFonts w:ascii="Arial" w:hAnsi="Arial" w:cs="Arial"/>
                <w:sz w:val="20"/>
                <w:szCs w:val="20"/>
              </w:rPr>
              <w:t>9</w:t>
            </w:r>
            <w:r w:rsidR="008827E5" w:rsidRPr="00D62E66">
              <w:rPr>
                <w:rFonts w:ascii="Arial" w:hAnsi="Arial" w:cs="Arial"/>
                <w:sz w:val="20"/>
                <w:szCs w:val="20"/>
              </w:rPr>
              <w:t>/202</w:t>
            </w:r>
            <w:r w:rsidR="00586A9D">
              <w:rPr>
                <w:rFonts w:ascii="Arial" w:hAnsi="Arial" w:cs="Arial"/>
                <w:sz w:val="20"/>
                <w:szCs w:val="20"/>
              </w:rPr>
              <w:t>5</w:t>
            </w:r>
          </w:p>
        </w:tc>
        <w:tc>
          <w:tcPr>
            <w:tcW w:w="1338" w:type="dxa"/>
            <w:vAlign w:val="center"/>
          </w:tcPr>
          <w:p w14:paraId="63CAB48B" w14:textId="77777777" w:rsidR="008827E5" w:rsidRPr="00D62E66" w:rsidRDefault="008827E5" w:rsidP="00D357B5">
            <w:pPr>
              <w:jc w:val="center"/>
              <w:rPr>
                <w:rFonts w:ascii="Arial" w:hAnsi="Arial" w:cs="Arial"/>
                <w:sz w:val="20"/>
                <w:szCs w:val="20"/>
              </w:rPr>
            </w:pPr>
          </w:p>
        </w:tc>
        <w:tc>
          <w:tcPr>
            <w:tcW w:w="3119" w:type="dxa"/>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rsidP="00D357B5">
            <w:pPr>
              <w:jc w:val="center"/>
              <w:rPr>
                <w:rFonts w:ascii="Arial" w:hAnsi="Arial" w:cs="Arial"/>
                <w:sz w:val="20"/>
                <w:szCs w:val="20"/>
              </w:rPr>
            </w:pPr>
          </w:p>
          <w:p w14:paraId="2555F440"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6D880B59" w14:textId="43F8323E" w:rsidR="008827E5" w:rsidRPr="00E353C9" w:rsidRDefault="00194791" w:rsidP="00D357B5">
            <w:pPr>
              <w:jc w:val="center"/>
              <w:rPr>
                <w:rFonts w:ascii="Arial" w:hAnsi="Arial" w:cs="Arial"/>
                <w:sz w:val="20"/>
                <w:szCs w:val="20"/>
              </w:rPr>
            </w:pPr>
            <w:r>
              <w:rPr>
                <w:rFonts w:ascii="Arial" w:hAnsi="Arial" w:cs="Arial"/>
                <w:sz w:val="20"/>
                <w:szCs w:val="20"/>
              </w:rPr>
              <w:t>6/10</w:t>
            </w:r>
            <w:r w:rsidR="008827E5" w:rsidRPr="00E353C9">
              <w:rPr>
                <w:rFonts w:ascii="Arial" w:hAnsi="Arial" w:cs="Arial"/>
                <w:sz w:val="20"/>
                <w:szCs w:val="20"/>
              </w:rPr>
              <w:t>/202</w:t>
            </w:r>
            <w:r w:rsidR="00586A9D">
              <w:rPr>
                <w:rFonts w:ascii="Arial" w:hAnsi="Arial" w:cs="Arial"/>
                <w:sz w:val="20"/>
                <w:szCs w:val="20"/>
              </w:rPr>
              <w:t>5</w:t>
            </w:r>
          </w:p>
          <w:p w14:paraId="172835D8" w14:textId="77777777" w:rsidR="008827E5" w:rsidRPr="00E353C9" w:rsidRDefault="008827E5" w:rsidP="00D357B5">
            <w:pPr>
              <w:jc w:val="center"/>
              <w:rPr>
                <w:rFonts w:ascii="Arial" w:hAnsi="Arial" w:cs="Arial"/>
                <w:sz w:val="20"/>
                <w:szCs w:val="20"/>
              </w:rPr>
            </w:pPr>
          </w:p>
        </w:tc>
        <w:tc>
          <w:tcPr>
            <w:tcW w:w="1338" w:type="dxa"/>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77777777" w:rsidR="008827E5" w:rsidRPr="00E353C9" w:rsidRDefault="008827E5" w:rsidP="00D357B5">
            <w:pPr>
              <w:jc w:val="center"/>
              <w:rPr>
                <w:rFonts w:ascii="Arial" w:hAnsi="Arial" w:cs="Arial"/>
                <w:sz w:val="20"/>
                <w:szCs w:val="20"/>
              </w:rPr>
            </w:pPr>
            <w:r>
              <w:rPr>
                <w:rFonts w:ascii="Arial" w:hAnsi="Arial" w:cs="Arial"/>
                <w:sz w:val="20"/>
                <w:szCs w:val="20"/>
              </w:rPr>
              <w:t>15</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2FA3799D" w:rsidR="008827E5" w:rsidRPr="00E353C9" w:rsidRDefault="00194791" w:rsidP="00D357B5">
            <w:pPr>
              <w:jc w:val="center"/>
              <w:rPr>
                <w:rFonts w:ascii="Arial" w:hAnsi="Arial" w:cs="Arial"/>
                <w:sz w:val="20"/>
                <w:szCs w:val="20"/>
              </w:rPr>
            </w:pPr>
            <w:r>
              <w:rPr>
                <w:rFonts w:ascii="Arial" w:hAnsi="Arial" w:cs="Arial"/>
                <w:sz w:val="20"/>
                <w:szCs w:val="20"/>
              </w:rPr>
              <w:t>6/10</w:t>
            </w:r>
            <w:r w:rsidR="008827E5" w:rsidRPr="00E353C9">
              <w:rPr>
                <w:rFonts w:ascii="Arial" w:hAnsi="Arial" w:cs="Arial"/>
                <w:sz w:val="20"/>
                <w:szCs w:val="20"/>
              </w:rPr>
              <w:t>/202</w:t>
            </w:r>
            <w:r w:rsidR="005B75AC">
              <w:rPr>
                <w:rFonts w:ascii="Arial" w:hAnsi="Arial" w:cs="Arial"/>
                <w:sz w:val="20"/>
                <w:szCs w:val="20"/>
              </w:rPr>
              <w:t>5</w:t>
            </w:r>
          </w:p>
          <w:p w14:paraId="1C47FD0A" w14:textId="77777777" w:rsidR="008827E5" w:rsidRPr="00E353C9" w:rsidRDefault="008827E5" w:rsidP="00D357B5">
            <w:pPr>
              <w:jc w:val="center"/>
              <w:rPr>
                <w:rFonts w:ascii="Arial" w:hAnsi="Arial" w:cs="Arial"/>
                <w:sz w:val="20"/>
                <w:szCs w:val="20"/>
              </w:rPr>
            </w:pPr>
          </w:p>
        </w:tc>
        <w:tc>
          <w:tcPr>
            <w:tcW w:w="1338" w:type="dxa"/>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1593281" w:rsidR="008827E5" w:rsidRPr="00E353C9" w:rsidRDefault="008827E5" w:rsidP="00D357B5">
            <w:pPr>
              <w:jc w:val="center"/>
              <w:rPr>
                <w:rFonts w:ascii="Arial" w:hAnsi="Arial" w:cs="Arial"/>
                <w:sz w:val="20"/>
                <w:szCs w:val="20"/>
              </w:rPr>
            </w:pPr>
            <w:r w:rsidRPr="00E353C9">
              <w:rPr>
                <w:rFonts w:ascii="Arial" w:hAnsi="Arial" w:cs="Arial"/>
                <w:sz w:val="20"/>
                <w:szCs w:val="20"/>
              </w:rPr>
              <w:t>1</w:t>
            </w:r>
            <w:r>
              <w:rPr>
                <w:rFonts w:ascii="Arial" w:hAnsi="Arial" w:cs="Arial"/>
                <w:sz w:val="20"/>
                <w:szCs w:val="20"/>
              </w:rPr>
              <w:t>5</w:t>
            </w:r>
            <w:r w:rsidRPr="00E353C9">
              <w:rPr>
                <w:rFonts w:ascii="Arial" w:hAnsi="Arial" w:cs="Arial"/>
                <w:sz w:val="20"/>
                <w:szCs w:val="20"/>
              </w:rPr>
              <w:t>:</w:t>
            </w:r>
            <w:r>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19BA5EC4" w:rsidR="008827E5" w:rsidRPr="00E353C9" w:rsidRDefault="005B75AC" w:rsidP="00D357B5">
            <w:pPr>
              <w:jc w:val="center"/>
              <w:rPr>
                <w:rFonts w:ascii="Arial" w:hAnsi="Arial" w:cs="Arial"/>
                <w:sz w:val="20"/>
                <w:szCs w:val="20"/>
              </w:rPr>
            </w:pPr>
            <w:r>
              <w:rPr>
                <w:rFonts w:ascii="Arial" w:hAnsi="Arial" w:cs="Arial"/>
                <w:sz w:val="20"/>
                <w:szCs w:val="20"/>
              </w:rPr>
              <w:t>1</w:t>
            </w:r>
            <w:r w:rsidR="00194791">
              <w:rPr>
                <w:rFonts w:ascii="Arial" w:hAnsi="Arial" w:cs="Arial"/>
                <w:sz w:val="20"/>
                <w:szCs w:val="20"/>
              </w:rPr>
              <w:t>0/10</w:t>
            </w:r>
            <w:r w:rsidR="008827E5">
              <w:rPr>
                <w:rFonts w:ascii="Arial" w:hAnsi="Arial" w:cs="Arial"/>
                <w:sz w:val="20"/>
                <w:szCs w:val="20"/>
              </w:rPr>
              <w:t>/202</w:t>
            </w:r>
            <w:r w:rsidR="00D462CB">
              <w:rPr>
                <w:rFonts w:ascii="Arial" w:hAnsi="Arial" w:cs="Arial"/>
                <w:sz w:val="20"/>
                <w:szCs w:val="20"/>
              </w:rPr>
              <w:t>5</w:t>
            </w:r>
          </w:p>
        </w:tc>
        <w:tc>
          <w:tcPr>
            <w:tcW w:w="3119" w:type="dxa"/>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03938413" w14:textId="77777777" w:rsidR="005B75AC" w:rsidRDefault="005B75AC"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r w:rsidR="00E353C9">
        <w:rPr>
          <w:rFonts w:ascii="Arial" w:hAnsi="Arial" w:cs="Arial"/>
          <w:sz w:val="20"/>
          <w:szCs w:val="20"/>
        </w:rPr>
        <w:t>I</w:t>
      </w:r>
      <w:r w:rsidR="00E353C9" w:rsidRPr="00E353C9">
        <w:rPr>
          <w:rFonts w:ascii="Arial" w:hAnsi="Arial" w:cs="Arial"/>
          <w:sz w:val="20"/>
          <w:szCs w:val="20"/>
        </w:rPr>
        <w:t>nt</w:t>
      </w:r>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5F0C0A9"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194791">
        <w:rPr>
          <w:rFonts w:ascii="Arial" w:hAnsi="Arial" w:cs="Arial"/>
          <w:sz w:val="20"/>
          <w:szCs w:val="20"/>
        </w:rPr>
        <w:t>30</w:t>
      </w:r>
      <w:r w:rsidR="00C93F0C">
        <w:rPr>
          <w:rFonts w:ascii="Arial" w:hAnsi="Arial" w:cs="Arial"/>
          <w:sz w:val="20"/>
          <w:szCs w:val="20"/>
        </w:rPr>
        <w:t xml:space="preserve"> de </w:t>
      </w:r>
      <w:r w:rsidR="00194791">
        <w:rPr>
          <w:rFonts w:ascii="Arial" w:hAnsi="Arial" w:cs="Arial"/>
          <w:sz w:val="20"/>
          <w:szCs w:val="20"/>
        </w:rPr>
        <w:t>septiembre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D462CB">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7753" w14:textId="77777777" w:rsidR="00EA41A3" w:rsidRDefault="00EA41A3" w:rsidP="003518DA">
      <w:r>
        <w:separator/>
      </w:r>
    </w:p>
  </w:endnote>
  <w:endnote w:type="continuationSeparator" w:id="0">
    <w:p w14:paraId="6C5DF2E9" w14:textId="77777777" w:rsidR="00EA41A3" w:rsidRDefault="00EA41A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0365" w14:textId="77777777" w:rsidR="00EA41A3" w:rsidRDefault="00EA41A3" w:rsidP="003518DA">
      <w:r>
        <w:separator/>
      </w:r>
    </w:p>
  </w:footnote>
  <w:footnote w:type="continuationSeparator" w:id="0">
    <w:p w14:paraId="70D03517" w14:textId="77777777" w:rsidR="00EA41A3" w:rsidRDefault="00EA41A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6B8B"/>
    <w:rsid w:val="00090836"/>
    <w:rsid w:val="000A665F"/>
    <w:rsid w:val="000A7CA5"/>
    <w:rsid w:val="000B3DE8"/>
    <w:rsid w:val="000C2689"/>
    <w:rsid w:val="000C50E3"/>
    <w:rsid w:val="000C6EE3"/>
    <w:rsid w:val="000E3914"/>
    <w:rsid w:val="000E74A3"/>
    <w:rsid w:val="000F5BAF"/>
    <w:rsid w:val="001110D9"/>
    <w:rsid w:val="00120172"/>
    <w:rsid w:val="001426C1"/>
    <w:rsid w:val="00144AC0"/>
    <w:rsid w:val="00155D22"/>
    <w:rsid w:val="00163081"/>
    <w:rsid w:val="0016792A"/>
    <w:rsid w:val="00186D11"/>
    <w:rsid w:val="001875BB"/>
    <w:rsid w:val="00191A22"/>
    <w:rsid w:val="00194791"/>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15FD6"/>
    <w:rsid w:val="00320738"/>
    <w:rsid w:val="0033615C"/>
    <w:rsid w:val="00343443"/>
    <w:rsid w:val="00351662"/>
    <w:rsid w:val="003518DA"/>
    <w:rsid w:val="003575D2"/>
    <w:rsid w:val="00357801"/>
    <w:rsid w:val="003656C3"/>
    <w:rsid w:val="00365CBE"/>
    <w:rsid w:val="00370596"/>
    <w:rsid w:val="0037409A"/>
    <w:rsid w:val="003968FF"/>
    <w:rsid w:val="003A31D4"/>
    <w:rsid w:val="003C30DD"/>
    <w:rsid w:val="003C51FE"/>
    <w:rsid w:val="003D363B"/>
    <w:rsid w:val="003D5BBE"/>
    <w:rsid w:val="003E2D8B"/>
    <w:rsid w:val="003E5C5A"/>
    <w:rsid w:val="003E68C6"/>
    <w:rsid w:val="003F161B"/>
    <w:rsid w:val="00400786"/>
    <w:rsid w:val="00400B0E"/>
    <w:rsid w:val="00402D1D"/>
    <w:rsid w:val="0040593E"/>
    <w:rsid w:val="0041643C"/>
    <w:rsid w:val="00417F56"/>
    <w:rsid w:val="004260F0"/>
    <w:rsid w:val="004333C0"/>
    <w:rsid w:val="00450389"/>
    <w:rsid w:val="00452E17"/>
    <w:rsid w:val="00457101"/>
    <w:rsid w:val="00480E5A"/>
    <w:rsid w:val="00485AF9"/>
    <w:rsid w:val="00493B06"/>
    <w:rsid w:val="004A0761"/>
    <w:rsid w:val="004B0FA3"/>
    <w:rsid w:val="004B12F9"/>
    <w:rsid w:val="004C08DF"/>
    <w:rsid w:val="004F05A0"/>
    <w:rsid w:val="004F0C84"/>
    <w:rsid w:val="00523BB4"/>
    <w:rsid w:val="00546C8C"/>
    <w:rsid w:val="005630DA"/>
    <w:rsid w:val="00564C61"/>
    <w:rsid w:val="005651B6"/>
    <w:rsid w:val="005773A2"/>
    <w:rsid w:val="00586A9D"/>
    <w:rsid w:val="00592C99"/>
    <w:rsid w:val="005A126E"/>
    <w:rsid w:val="005B0F53"/>
    <w:rsid w:val="005B75AC"/>
    <w:rsid w:val="005C2BE5"/>
    <w:rsid w:val="005C77EE"/>
    <w:rsid w:val="005E5827"/>
    <w:rsid w:val="005F6F23"/>
    <w:rsid w:val="00613639"/>
    <w:rsid w:val="00624C02"/>
    <w:rsid w:val="00626CFB"/>
    <w:rsid w:val="00641922"/>
    <w:rsid w:val="006423EF"/>
    <w:rsid w:val="00642AAD"/>
    <w:rsid w:val="00650F9D"/>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71228D"/>
    <w:rsid w:val="00712E7A"/>
    <w:rsid w:val="007150F3"/>
    <w:rsid w:val="00715699"/>
    <w:rsid w:val="007205A2"/>
    <w:rsid w:val="00743D1A"/>
    <w:rsid w:val="00746B43"/>
    <w:rsid w:val="00747AE1"/>
    <w:rsid w:val="0075769D"/>
    <w:rsid w:val="00782641"/>
    <w:rsid w:val="00784F87"/>
    <w:rsid w:val="007A305F"/>
    <w:rsid w:val="007B0812"/>
    <w:rsid w:val="007D0737"/>
    <w:rsid w:val="007D17B9"/>
    <w:rsid w:val="007E0234"/>
    <w:rsid w:val="007F021C"/>
    <w:rsid w:val="0081792A"/>
    <w:rsid w:val="0084268D"/>
    <w:rsid w:val="0084304F"/>
    <w:rsid w:val="0084662D"/>
    <w:rsid w:val="008775E0"/>
    <w:rsid w:val="008827E5"/>
    <w:rsid w:val="00891871"/>
    <w:rsid w:val="008A3F78"/>
    <w:rsid w:val="008A652C"/>
    <w:rsid w:val="008B5D32"/>
    <w:rsid w:val="008D20D2"/>
    <w:rsid w:val="008E3751"/>
    <w:rsid w:val="009159D3"/>
    <w:rsid w:val="00932CE6"/>
    <w:rsid w:val="009330BF"/>
    <w:rsid w:val="0093463C"/>
    <w:rsid w:val="00941C00"/>
    <w:rsid w:val="00952D11"/>
    <w:rsid w:val="009536B1"/>
    <w:rsid w:val="00956736"/>
    <w:rsid w:val="00987563"/>
    <w:rsid w:val="009A03C9"/>
    <w:rsid w:val="009A509C"/>
    <w:rsid w:val="009B52E4"/>
    <w:rsid w:val="009B6D4C"/>
    <w:rsid w:val="009C2D94"/>
    <w:rsid w:val="009F0BF8"/>
    <w:rsid w:val="009F0D1C"/>
    <w:rsid w:val="00A27ED7"/>
    <w:rsid w:val="00A321CD"/>
    <w:rsid w:val="00A36BAB"/>
    <w:rsid w:val="00A37820"/>
    <w:rsid w:val="00A37B03"/>
    <w:rsid w:val="00A53767"/>
    <w:rsid w:val="00A60545"/>
    <w:rsid w:val="00A6753F"/>
    <w:rsid w:val="00A83AEE"/>
    <w:rsid w:val="00AB03DC"/>
    <w:rsid w:val="00AC026E"/>
    <w:rsid w:val="00AC399D"/>
    <w:rsid w:val="00AD74F7"/>
    <w:rsid w:val="00AE2B20"/>
    <w:rsid w:val="00AF58DE"/>
    <w:rsid w:val="00B00161"/>
    <w:rsid w:val="00B02443"/>
    <w:rsid w:val="00B11C96"/>
    <w:rsid w:val="00B365CC"/>
    <w:rsid w:val="00B42169"/>
    <w:rsid w:val="00B46AB9"/>
    <w:rsid w:val="00B55275"/>
    <w:rsid w:val="00B60304"/>
    <w:rsid w:val="00B7653D"/>
    <w:rsid w:val="00BA1683"/>
    <w:rsid w:val="00BA75CF"/>
    <w:rsid w:val="00BB0720"/>
    <w:rsid w:val="00BB71DB"/>
    <w:rsid w:val="00BC66DF"/>
    <w:rsid w:val="00BE0432"/>
    <w:rsid w:val="00BF1603"/>
    <w:rsid w:val="00BF6B7C"/>
    <w:rsid w:val="00BF75D3"/>
    <w:rsid w:val="00C06C1D"/>
    <w:rsid w:val="00C1197E"/>
    <w:rsid w:val="00C17C49"/>
    <w:rsid w:val="00C402A0"/>
    <w:rsid w:val="00C43F1B"/>
    <w:rsid w:val="00C605D2"/>
    <w:rsid w:val="00C733E7"/>
    <w:rsid w:val="00C76735"/>
    <w:rsid w:val="00C93F0C"/>
    <w:rsid w:val="00CA1C1C"/>
    <w:rsid w:val="00CA6875"/>
    <w:rsid w:val="00CA7415"/>
    <w:rsid w:val="00CB0ABA"/>
    <w:rsid w:val="00CB1A6E"/>
    <w:rsid w:val="00CC2B37"/>
    <w:rsid w:val="00CE2C6D"/>
    <w:rsid w:val="00CE439B"/>
    <w:rsid w:val="00CF18CB"/>
    <w:rsid w:val="00D44D4B"/>
    <w:rsid w:val="00D462CB"/>
    <w:rsid w:val="00D6079F"/>
    <w:rsid w:val="00D62E66"/>
    <w:rsid w:val="00D66344"/>
    <w:rsid w:val="00D720DA"/>
    <w:rsid w:val="00D75B13"/>
    <w:rsid w:val="00D93C84"/>
    <w:rsid w:val="00DE203C"/>
    <w:rsid w:val="00DE360B"/>
    <w:rsid w:val="00DF1946"/>
    <w:rsid w:val="00E02C76"/>
    <w:rsid w:val="00E034DB"/>
    <w:rsid w:val="00E05352"/>
    <w:rsid w:val="00E12A46"/>
    <w:rsid w:val="00E353C9"/>
    <w:rsid w:val="00E41783"/>
    <w:rsid w:val="00E52A58"/>
    <w:rsid w:val="00E55322"/>
    <w:rsid w:val="00E60ECF"/>
    <w:rsid w:val="00E62A3E"/>
    <w:rsid w:val="00E84F8C"/>
    <w:rsid w:val="00EA18CB"/>
    <w:rsid w:val="00EA41A3"/>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863EE"/>
    <w:rsid w:val="00F93ACA"/>
    <w:rsid w:val="00F97CB0"/>
    <w:rsid w:val="00FA1FEB"/>
    <w:rsid w:val="00FB50F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paragraph" w:styleId="Sinespaciado">
    <w:name w:val="No Spacing"/>
    <w:uiPriority w:val="1"/>
    <w:qFormat/>
    <w:rsid w:val="0095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612</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31</cp:revision>
  <cp:lastPrinted>2024-12-09T14:27:00Z</cp:lastPrinted>
  <dcterms:created xsi:type="dcterms:W3CDTF">2024-04-01T18:15:00Z</dcterms:created>
  <dcterms:modified xsi:type="dcterms:W3CDTF">2025-09-29T20:34:00Z</dcterms:modified>
</cp:coreProperties>
</file>